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107</w:t>
      </w:r>
    </w:p>
    <w:p>
      <w:r>
        <w:t>Bundesgericht (BGE), 2012-01-30, IT</w:t>
      </w:r>
    </w:p>
    <w:p>
      <w:r>
        <w:rPr>
          <w:b/>
        </w:rPr>
        <w:t xml:space="preserve">Quelle: </w:t>
      </w:r>
      <w:r>
        <w:t>https://mcp.opencaselaw.ch/entscheid/bge_138 III 107</w:t>
      </w:r>
    </w:p>
    <w:p>
      <w:r>
        <w:t>FR: ATF 138 III 107</w:t>
      </w:r>
    </w:p>
    <w:p>
      <w:r>
        <w:t>IT: DTF 138 III 107</w:t>
      </w:r>
    </w:p>
    <w:p>
      <w:pPr>
        <w:pStyle w:val="Heading2"/>
      </w:pPr>
      <w:r>
        <w:t>Regeste</w:t>
      </w:r>
    </w:p>
    <w:p>
      <w:r>
        <w:t>Regeste Art. 329d Abs. 1 und Art. 356c Abs. 1 OR; Berechnung des auf die Ferien entfallenden Lohnes; Abänderung eines Gesamtarbeitsvertrages. Die Zulagen für Nacht-, Feiertags- und Wochenendarbeit sind bei der Berechnung des Lohnes gemäss Art. 329d Abs. 1 OR nur zu berücksichtigen, wenn sie einen andauernden und regelmässigen Charakter haben (Bestätigung der Rechtsprechung; E. 3). Ein Schiedsgericht, das in einem Gesamtarbeitsvertrag vorgesehen ist, hat nicht die Kompetenz, diesen abzuändern (E. 4).</w:t>
      </w:r>
    </w:p>
    <w:p>
      <w:pPr>
        <w:pStyle w:val="Heading2"/>
      </w:pPr>
      <w:r>
        <w:t>Volltext</w:t>
      </w:r>
    </w:p>
    <w:p>
      <w:r>
        <w:t>Urteilskopf 138 III 107 16. Estratto della sentenza della I Corte di diritto civile nella causa A. e consorti contro Commissione paritetica cantonale delle Case per anziani (ricorso in materia civile) 4A_466/2011 del 30 gennaio 2012 Regeste Art. 329d Abs. 1 und Art. 356c Abs. 1 OR ; Berechnung des auf die Ferien entfallenden Lohnes; Abänderung eines Gesamtarbeitsvertrages. Die Zulagen für Nacht-, Feiertags- und Wochenendarbeit sind bei der Berechnung des Lohnes gemäss Art. 329d Abs. 1 OR nur zu berücksichtigen, wenn sie einen andauernden und regelmässigen Charakter haben (Bestätigung der Rechtsprechung; E. 3). Ein Schiedsgericht, das in einem Gesamtarbeitsvertrag vorgesehen ist, hat nicht die Kompetenz, diesen abzuändern (E. 4). Sachverhalt ab Seite 108 BGE 138 III 107 S. 108 A. L' art. 30 cpv. 4 del "Regolamento Organico cantonale per il personale occupato presso le Case per anziani" (ROCA), edizione 2008, prevede che le indennità notturne e festive non sono riconosciute in caso di malattia, infortunio e vacanze. L'11 febbraio 2009 due sindacati si sono rivolti alla Commissione paritetica cantonale delle Case per anziani (qui di seguito: Commissione paritetica), affinché questa verifichi se il predetto contratto collettivo di lavoro (CCL) sia conforme alla DTF 132 III 172 concernente il salario (da pagare durante le vacanze) determinante ai sensi dell' art. 329d cpv. 1 CO . Il 16 marzo 2009 la Commissione paritetica ha deciso "di far applicare" dal 1° gennaio 2008 la menzionata sentenza del Tribunale federale in merito al pagamento delle indennità per lavoro festivo e notturno durante le assenze pagate del dipendente, precisando che l'applicazione viene finanziata nel quadro del contratto di prestazione (punto n. 1), di subordinare il pagamento di tali indennità arretrate nel periodo 2003-2007 all'approvazione da parte del Cantone Ticino di un credito supplementare per il sussidiamento delle case per anziani, specificando che in caso di mancata o parziale approvazione il tema verrà ridiscusso (punto n. 2). Nel punto 3 della sua decisione, la Commissione paritetica ha precisato che quanto precede vale per il personale ancora in servizio presso le case per anziani, mentre il personale nel frattempo partito deve avanzare una richiesta di rimborso e ha indicato che l'importo annuale supplementare da versare al dipendente va calcolato con la seguente formula: indennità festive e notturne versate durante l'anno in franchi moltiplicate con le ore di assenza giustificate annuali divise dalle ore di presenza annuali. B. Quattro case per anziani che hanno firmato individualmente il ROCA sono insorte contro la summenzionata decisione alla Commissione speciale di ricorso ai sensi degli art. 68 cpv. 3 e 72 del ROCA (qui di seguito: Commissione speciale). Questa ha, quale tribunale arbitrale, parzialmente accolto i rimedi nel senso che ai dipendenti delle Case per anziani aderenti al ROCA è riconosciuto il pagamento del salario anche in caso di assenze pagate per vacanze, malattie e infortunio con effetto dall'11 febbraio 2009, che sono riconosciute indennità arretrate per il periodo 12.2.2004-10.2.2009 BGE 138 III 107 S. 109 alle medesime condizioni già stabilite al punto n. 2 della decisione della Commissione paritetica e ha lasciato sostanzialmente invariato il dispositivo n. 3 di tale decisione. Il Tribunale arbitrale ha reputato che, alla luce della citata DTF, l'art. 30 cpv. 4 ROCA si rivela contrario all' art. 329d cpv. 1 CO con riferimento alla retribuzione delle vacanze e quindi nullo. C. Con ricorso in materia civile del 16 agosto 2011 le menzionate case per anziani hanno chiesto al Tribunale federale di annullare il lodo arbitrale. La Commissione speciale e la Commissione paritetica hanno proposto la reiezione dell'impugnativa con risposte 16 settembre 2011, rispettivamente 3 ottobre 2011. Il Tribunale federale ha accolto il ricorso in materia civile e ha annullato il lodo. (riassunto) Erwägungen Dai considerandi: 3. Giova innanzi tutto ribadire che l' art. 329d cpv. 1 CO , in virtù del quale il datore di lavoro deve pagare al lavoratore il salario completo per la durata delle vacanze e della cui applicazione si è occupata la DTF 132 III 172 , è giusta l' art. 362 CO una norma inderogabile a svantaggio del lavoratore. Nel consid. 3.1 della predetta decisione, il Tribunale federale ha stabilito che nel salario determinante nel senso dell' art. 329d cpv. 1 CO devono essere computati i supplementi versati per il lavoro di notte, nei giorni festivi e del fine settimana, se questi hanno un carattere duraturo e regolare. In altre parole, come rilevato dalle ricorrenti, il computo di tali indennità non è stato generalizzato, ma circoscritto al caso in cui esse hanno un carattere duraturo e regolare. Nella fattispecie invece, dal dispositivo del lodo impugnato non risulta alcuna limitazione all'inclusione di tali supplementi nel salario da versare durante le vacanze e le altre assenze. 4. 4.1 Nella propria decisione il Tribunale arbitrale ha indicato di avere, come la Commissione paritetica prima di lui, la competenza di abrogare in tutto o in parte norme del ROCA in conflitto con il diritto federale, rispettivamente di "pronunciarsi nell'ipotesi di due o più norme ROCA in contrasto tra loro". BGE 138 III 107 S. 110 4.2 Le ricorrenti, prevalendosi del motivo di ricorso dell'art. 393 lett. e CPC (RS 272), affermano che con il lodo impugnato, in cui sono state in sostanza confermate - fatta eccezione delle date - le decisioni prese dalla Commissione paritetica, è stato praticamente abrogato l'art. 30 cpv. 4 ROCA. Esse sostengono che, riconoscendo alla Commissione paritetica la competenza di modificare una disposizione del ROCA, la Commissione speciale ha emanato una decisione arbitraria basata su una manifesta violazione degli art. 356c e 13 cpv. 1 CO . La fattispecie in esame, asseverano le ricorrenti, non concerne infatti le possibilità di modifica previste dal ROCA all'art. 76 cpv. 2 e cpv. 5, che riguardano sostanzialmente il caso di modifiche attinenti al sistema di finanziamento delle case per anziani con una conseguente grave situazione finanziaria, rispettivamente il verificarsi di eventi in campo economico e sociale che modificano sostanzialmente le condizioni acquisite. 4.3 Giusta l' art. 356c cpv. 1 CO la conclusione, la modificazione, lo scioglimento del contratto per accordo delle parti, l'adesione di una nuova parte e la disdetta richiedono per la loro validità la forma scritta. Da questa norma discende che la competenza a cambiare un CCL spetta - esclusivamente - alle parti contraenti. Un'eventuale modifica del CCL avviene in primo luogo mediante un documento firmato da tutti gli stipulanti (JEAN-FRITZ STÖCKLI, Commento bernese, 2 a ed. 1999, n. 3 ad art. 356c CO ). L' art. 358 CO prevede poi che il diritto imperativo federale e cantonale prevale sul contratto collettivo. Ciò significa che il disposto di diritto imperativo in contrasto con una disposizione normativa del contratto collettivo è direttamente applicabile (CHRISTIAN BRUCHEZ, in Handbuch zum kollektiven Arbeitsrecht, 2008, pag. 295 n. 7 ad art. 358 CO ; VISCHER/ALBRECHT, Commento zurighese, 4 a ed. 2006, n. 29 ad art. 358 CO ; STÖCKLI, op.cit., n. 4 ad art. 358 CO ). Nella fattispecie è pacifico che la concessione, generalizzata a tutti i dipendenti che ricevono o hanno ricevuto delle indennità notturne e festive, di un importo supplementare al salario previsto dal CCL durante le assenze pagate per vacanze, malattia e infortunio deroga a quanto previsto dal ROCA. È pure incontestato che essa è stata decisa dalla Commissione paritetica e confermata dalla Commissione speciale. Non si è quindi in presenza di una modifica del CCL concordata dagli stipulanti, né di un semplice parere giuridico sull'interpretazione delle norme del contratto collettivo stilato dalla Commissione speciale in applicazione dell'art. 72 cpv. 2 ROCA. BGE 138 III 107 S. 111 Contrariamente a quanto indicato nella risposta al ricorso dall'opponente, l'adozione del menzionato complemento di salario non concerne nemmeno un caso di esecuzione comune del CCL ai sensi dell' art. 357b CO . Visto l' art. 358 CO , non sussiste inoltre neppure la necessità di formalmente abrogare disposizioni normative del CCL in contrasto con il diritto imperativo per il personale, il cui salario determinante ai sensi dell' art. 329a CO include pure i menzionati supplementi a causa del loro carattere regolare e duraturo. Ne segue che con la contestata decisione il tribunale arbitrale, arrogandosi la competenza di modificare il CCL, ha emanato un lodo arbitrario nel suo esito che poggia su una manifesta violazione dell' art. 356c cpv. 1 CO , norma che invece demanda tale competenza alle parti contraenti.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